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40E5" w14:textId="77777777" w:rsidR="00A1175C" w:rsidRDefault="00A1175C" w:rsidP="00A1175C">
      <w:pPr>
        <w:shd w:val="clear" w:color="auto" w:fill="FFFFFF"/>
        <w:spacing w:after="0"/>
        <w:rPr>
          <w:rFonts w:ascii="Montserrat" w:eastAsia="Times New Roman" w:hAnsi="Montserrat" w:cs="Times New Roman"/>
          <w:b/>
          <w:bCs/>
          <w:color w:val="52535F"/>
          <w:sz w:val="21"/>
          <w:szCs w:val="21"/>
          <w:lang w:eastAsia="en-NZ"/>
        </w:rPr>
      </w:pPr>
    </w:p>
    <w:p w14:paraId="107AD1F0" w14:textId="1B891816" w:rsidR="00A1175C" w:rsidRPr="00A4359A" w:rsidRDefault="00A4359A" w:rsidP="00A1175C">
      <w:pPr>
        <w:shd w:val="clear" w:color="auto" w:fill="FFFFFF"/>
        <w:spacing w:after="0"/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 xml:space="preserve">2025 </w:t>
      </w:r>
      <w:r w:rsidR="00A1175C"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 xml:space="preserve">COURSE </w:t>
      </w: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>INFORMATION</w:t>
      </w:r>
    </w:p>
    <w:p w14:paraId="404CAC1F" w14:textId="77777777" w:rsidR="00A1175C" w:rsidRPr="00A16424" w:rsidRDefault="00A1175C" w:rsidP="00A1175C">
      <w:pPr>
        <w:shd w:val="clear" w:color="auto" w:fill="FFFFFF"/>
        <w:spacing w:after="0"/>
        <w:rPr>
          <w:rFonts w:eastAsia="Times New Roman" w:cstheme="minorHAnsi"/>
          <w:b/>
          <w:bCs/>
          <w:color w:val="52535F"/>
          <w:lang w:eastAsia="en-NZ"/>
        </w:rPr>
      </w:pPr>
    </w:p>
    <w:p w14:paraId="5C4530DF" w14:textId="52D4945E" w:rsidR="00A1175C" w:rsidRPr="00A1175C" w:rsidRDefault="00A1175C" w:rsidP="00012CC6">
      <w:pPr>
        <w:shd w:val="clear" w:color="auto" w:fill="FFFFFF"/>
        <w:spacing w:after="0" w:line="276" w:lineRule="auto"/>
        <w:rPr>
          <w:rFonts w:eastAsia="Times New Roman" w:cstheme="minorHAnsi"/>
          <w:color w:val="52535F"/>
          <w:lang w:eastAsia="en-NZ"/>
        </w:rPr>
      </w:pPr>
      <w:r w:rsidRPr="00A1175C">
        <w:rPr>
          <w:rFonts w:eastAsia="Times New Roman" w:cstheme="minorHAnsi"/>
          <w:b/>
          <w:bCs/>
          <w:color w:val="52535F"/>
          <w:lang w:eastAsia="en-NZ"/>
        </w:rPr>
        <w:t>ENGLISH</w:t>
      </w:r>
    </w:p>
    <w:p w14:paraId="6570C94E" w14:textId="3BA22A41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In English, </w:t>
      </w:r>
      <w:r w:rsidR="001F4E78" w:rsidRPr="00A4359A">
        <w:rPr>
          <w:rFonts w:eastAsia="Times New Roman" w:cstheme="minorHAnsi"/>
          <w:color w:val="52535F"/>
          <w:sz w:val="24"/>
          <w:szCs w:val="24"/>
          <w:lang w:eastAsia="en-NZ"/>
        </w:rPr>
        <w:t>students’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study, use, and enjoy language and literature communicated orally, visually, or in writing.</w:t>
      </w:r>
    </w:p>
    <w:p w14:paraId="7A946A30" w14:textId="4C51D4AF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English is compulsory up to and including Year 12. In Year 12 there is a UE literacy component to enable students to progress with the Level 2 UE criteria.</w:t>
      </w:r>
    </w:p>
    <w:p w14:paraId="1E1CD4AB" w14:textId="77777777" w:rsidR="00012CC6" w:rsidRPr="00A4359A" w:rsidRDefault="00012CC6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</w:p>
    <w:p w14:paraId="2ABA9B37" w14:textId="77777777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>MATHEMATICS</w:t>
      </w:r>
    </w:p>
    <w:p w14:paraId="53E1567C" w14:textId="77777777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In mathematics, students explore relationships in quantities, space, and data and learn to express these relationships in ways that help them to make sense of the world around them.</w:t>
      </w:r>
    </w:p>
    <w:p w14:paraId="036F2599" w14:textId="774E848C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Mathematics is compulsory up to and including Year 11. Students can then opt to study Calculus, Statistics or Practical Maths in Year 12 and Year 1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3.</w:t>
      </w:r>
      <w:r w:rsidR="00A4359A" w:rsidRPr="00A4359A">
        <w:rPr>
          <w:rFonts w:eastAsia="Times New Roman" w:cstheme="minorHAnsi"/>
          <w:sz w:val="24"/>
          <w:szCs w:val="24"/>
          <w:lang w:eastAsia="en-NZ"/>
        </w:rPr>
        <w:pict w14:anchorId="0CA74BE7">
          <v:rect id="_x0000_i1025" style="width:0;height:0" o:hralign="center" o:hrstd="t" o:hrnoshade="t" o:hr="t" fillcolor="#52535f" stroked="f"/>
        </w:pict>
      </w:r>
    </w:p>
    <w:p w14:paraId="5A02017F" w14:textId="695AE525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 xml:space="preserve">SCIENCE </w:t>
      </w:r>
    </w:p>
    <w:p w14:paraId="1A0057B4" w14:textId="77777777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In science, students explore how both the natural physical world and science itself work so that they can participate as critical, informed, and responsible citizens in a society in which science plays a significant role.</w:t>
      </w:r>
    </w:p>
    <w:p w14:paraId="1A3163D1" w14:textId="7F602C3D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All Year 9 and Year 10 students study Science 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as will the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Year 11 students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.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In the Senior school, sciences branch out into Biology, Chemistry, and Physics with Space Science</w:t>
      </w:r>
    </w:p>
    <w:p w14:paraId="0F73C06B" w14:textId="77777777" w:rsidR="00012CC6" w:rsidRPr="00A4359A" w:rsidRDefault="00A1175C" w:rsidP="00A4359A">
      <w:pPr>
        <w:spacing w:before="300" w:after="300"/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>AGRICULTURE WITH HORTICULTURE</w:t>
      </w:r>
    </w:p>
    <w:p w14:paraId="22D4F7C9" w14:textId="77777777" w:rsidR="00012CC6" w:rsidRPr="00A4359A" w:rsidRDefault="00A1175C" w:rsidP="00A4359A">
      <w:pPr>
        <w:spacing w:before="300" w:after="300"/>
        <w:rPr>
          <w:rFonts w:cstheme="minorHAnsi"/>
          <w:color w:val="000000"/>
          <w:spacing w:val="-5"/>
          <w:sz w:val="24"/>
          <w:szCs w:val="24"/>
        </w:rPr>
      </w:pPr>
      <w:r w:rsidRPr="00A4359A">
        <w:rPr>
          <w:rFonts w:cstheme="minorHAnsi"/>
          <w:color w:val="000000"/>
          <w:spacing w:val="-5"/>
          <w:sz w:val="24"/>
          <w:szCs w:val="24"/>
        </w:rPr>
        <w:t>Learning in Agricultural and Horticultural Science develops students' understanding of the interconnectedness of all aspects of the growing environment, which includes people, soils, water, climate, plants, and animals</w:t>
      </w:r>
      <w:r w:rsidR="007C6A68" w:rsidRPr="00A4359A">
        <w:rPr>
          <w:rFonts w:cstheme="minorHAnsi"/>
          <w:color w:val="000000"/>
          <w:spacing w:val="-5"/>
          <w:sz w:val="24"/>
          <w:szCs w:val="24"/>
        </w:rPr>
        <w:t>.</w:t>
      </w:r>
      <w:r w:rsidR="00012CC6" w:rsidRPr="00A4359A">
        <w:rPr>
          <w:rFonts w:cstheme="minorHAnsi"/>
          <w:color w:val="000000"/>
          <w:spacing w:val="-5"/>
          <w:sz w:val="24"/>
          <w:szCs w:val="24"/>
        </w:rPr>
        <w:t xml:space="preserve"> </w:t>
      </w:r>
      <w:r w:rsidRPr="00A4359A">
        <w:rPr>
          <w:rFonts w:cstheme="minorHAnsi"/>
          <w:color w:val="000000"/>
          <w:spacing w:val="-5"/>
          <w:sz w:val="24"/>
          <w:szCs w:val="24"/>
        </w:rPr>
        <w:t>This subject focuses on primary production and predominately stops at the site gate, excluding businesses that support the primary industry.</w:t>
      </w:r>
    </w:p>
    <w:p w14:paraId="7D0BC583" w14:textId="643365CB" w:rsidR="007C6A68" w:rsidRPr="00A4359A" w:rsidRDefault="007C6A68" w:rsidP="00A4359A">
      <w:pPr>
        <w:spacing w:before="300" w:after="300"/>
        <w:rPr>
          <w:rFonts w:cstheme="minorHAnsi"/>
          <w:color w:val="000000"/>
          <w:spacing w:val="-5"/>
          <w:sz w:val="24"/>
          <w:szCs w:val="24"/>
        </w:rPr>
      </w:pPr>
      <w:r w:rsidRPr="00A4359A">
        <w:rPr>
          <w:rFonts w:cstheme="minorHAnsi"/>
          <w:color w:val="000000"/>
          <w:spacing w:val="-5"/>
          <w:sz w:val="24"/>
          <w:szCs w:val="24"/>
        </w:rPr>
        <w:t>In Year 12 this branch out into Environmental Science where students look at their impact on the world around them, the economic benefits of sustainability and viability.</w:t>
      </w:r>
    </w:p>
    <w:p w14:paraId="5A3170B4" w14:textId="77777777" w:rsidR="007C6A68" w:rsidRPr="00A4359A" w:rsidRDefault="007C6A68" w:rsidP="00A4359A">
      <w:pPr>
        <w:rPr>
          <w:rFonts w:cstheme="minorHAnsi"/>
          <w:b/>
          <w:bCs/>
          <w:sz w:val="24"/>
          <w:szCs w:val="24"/>
        </w:rPr>
      </w:pPr>
      <w:r w:rsidRPr="00A4359A">
        <w:rPr>
          <w:rFonts w:cstheme="minorHAnsi"/>
          <w:b/>
          <w:bCs/>
          <w:sz w:val="24"/>
          <w:szCs w:val="24"/>
        </w:rPr>
        <w:t>Enviro Sustainability</w:t>
      </w:r>
    </w:p>
    <w:p w14:paraId="419FA8C5" w14:textId="5F32A818" w:rsidR="007C6A68" w:rsidRPr="00A4359A" w:rsidRDefault="007C6A68" w:rsidP="00A4359A">
      <w:pPr>
        <w:rPr>
          <w:rFonts w:cstheme="minorHAnsi"/>
          <w:color w:val="232B2D"/>
          <w:sz w:val="24"/>
          <w:szCs w:val="24"/>
        </w:rPr>
      </w:pPr>
      <w:r w:rsidRPr="00A4359A">
        <w:rPr>
          <w:rFonts w:cstheme="minorHAnsi"/>
          <w:color w:val="232B2D"/>
          <w:sz w:val="24"/>
          <w:szCs w:val="24"/>
        </w:rPr>
        <w:t>Education for Sustainability is about learning to think and act in ways that safeguard the wellbeing of people and the planet</w:t>
      </w:r>
      <w:r w:rsidR="00012CC6" w:rsidRPr="00A4359A">
        <w:rPr>
          <w:rFonts w:cstheme="minorHAnsi"/>
          <w:color w:val="232B2D"/>
          <w:sz w:val="24"/>
          <w:szCs w:val="24"/>
        </w:rPr>
        <w:t xml:space="preserve">. </w:t>
      </w:r>
      <w:r w:rsidRPr="00A4359A">
        <w:rPr>
          <w:rFonts w:cstheme="minorHAnsi"/>
          <w:color w:val="232B2D"/>
          <w:sz w:val="24"/>
          <w:szCs w:val="24"/>
        </w:rPr>
        <w:t>It encompasses the care for the environment and the impact of human endeavours and the primary industries.</w:t>
      </w:r>
    </w:p>
    <w:p w14:paraId="0583D272" w14:textId="77777777" w:rsidR="00012CC6" w:rsidRPr="00A4359A" w:rsidRDefault="00012CC6" w:rsidP="00A4359A">
      <w:pPr>
        <w:rPr>
          <w:rFonts w:cstheme="minorHAnsi"/>
          <w:b/>
          <w:bCs/>
          <w:sz w:val="24"/>
          <w:szCs w:val="24"/>
        </w:rPr>
      </w:pPr>
    </w:p>
    <w:p w14:paraId="69CF2965" w14:textId="4F30DCAD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 xml:space="preserve">ARTS </w:t>
      </w:r>
    </w:p>
    <w:p w14:paraId="3999D951" w14:textId="75250181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In the Arts, students explore, refine, and communicate ideas as they connect thinking, imagination, senses, and feelings to create works and respond to the works of others.</w:t>
      </w:r>
    </w:p>
    <w:p w14:paraId="5E32D569" w14:textId="6FB27CDB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Students in Y9 </w:t>
      </w:r>
      <w:proofErr w:type="gramStart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have the opportunity to</w:t>
      </w:r>
      <w:proofErr w:type="gramEnd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experience all of the Arts &amp; Technology courses offered at 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>KCS,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from Y10 they can opt into them and create a pathway through to the Senior School.</w:t>
      </w:r>
    </w:p>
    <w:p w14:paraId="6A019F71" w14:textId="368681E1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Arts: offers courses in 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p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ainting, </w:t>
      </w:r>
      <w:proofErr w:type="gramStart"/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p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hotography,  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d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igital</w:t>
      </w:r>
      <w:proofErr w:type="gramEnd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t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echnologies, 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d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esign &amp; 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v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isual 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>c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ommunications.</w:t>
      </w:r>
    </w:p>
    <w:p w14:paraId="1D5DEAA6" w14:textId="77777777" w:rsidR="00012CC6" w:rsidRPr="00A4359A" w:rsidRDefault="00012CC6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</w:p>
    <w:p w14:paraId="5B4EA9B6" w14:textId="77777777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>HEALTH AND PHYSICAL EDUCATION</w:t>
      </w:r>
    </w:p>
    <w:p w14:paraId="73D18807" w14:textId="77777777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In Health and Physical Education, students learn about their own well-being, and that of others and society, in health-related and movement contexts.</w:t>
      </w:r>
    </w:p>
    <w:p w14:paraId="6A2DBA32" w14:textId="52802BD2" w:rsidR="00330D5A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All Year 9 and Year 10 students study Health &amp; Physical Education</w:t>
      </w:r>
      <w:r w:rsidR="00012CC6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as will the Year 11 as a semester topic.</w:t>
      </w:r>
    </w:p>
    <w:p w14:paraId="1990C7D5" w14:textId="34A22D5B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In the Senior School, students can opt to do Physical Education, 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(NCEA accredited) 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and be invited to study in the specialised sports Institute 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of 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Rugby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League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.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(Health and Fitness)</w:t>
      </w:r>
      <w:r w:rsidR="007C6A68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in Academy.</w:t>
      </w:r>
    </w:p>
    <w:p w14:paraId="01F01F50" w14:textId="77777777" w:rsidR="00012CC6" w:rsidRPr="00A4359A" w:rsidRDefault="00012CC6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</w:p>
    <w:p w14:paraId="624EF491" w14:textId="77777777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>LANGUAGES</w:t>
      </w:r>
    </w:p>
    <w:p w14:paraId="232AFF31" w14:textId="0BE12EB8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In learning a language, students learn to communicate in another language and develop their capacity to learn further languages, they will explore different cultures and world views in relation to their own. </w:t>
      </w:r>
      <w:proofErr w:type="spellStart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Te</w:t>
      </w:r>
      <w:proofErr w:type="spellEnd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</w:t>
      </w:r>
      <w:proofErr w:type="spellStart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Reo</w:t>
      </w:r>
      <w:proofErr w:type="spellEnd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 </w:t>
      </w:r>
      <w:proofErr w:type="spellStart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Maori</w:t>
      </w:r>
      <w:proofErr w:type="spellEnd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is part of Year 9 and 10 and opens to NCEA </w:t>
      </w:r>
      <w:proofErr w:type="spellStart"/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>Te</w:t>
      </w:r>
      <w:proofErr w:type="spellEnd"/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</w:t>
      </w:r>
      <w:proofErr w:type="spellStart"/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>Reo</w:t>
      </w:r>
      <w:proofErr w:type="spellEnd"/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in the senior school.</w:t>
      </w:r>
    </w:p>
    <w:p w14:paraId="584642EF" w14:textId="77777777" w:rsidR="00012CC6" w:rsidRPr="00A4359A" w:rsidRDefault="00012CC6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</w:p>
    <w:p w14:paraId="438CB1E0" w14:textId="52AC1E78" w:rsidR="00A1175C" w:rsidRPr="00A4359A" w:rsidRDefault="00D023C7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>Humanities</w:t>
      </w:r>
    </w:p>
    <w:p w14:paraId="0790A543" w14:textId="23F5A49E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In the 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>Humanities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, students explore 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>the Bible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and how they themselves can participate and </w:t>
      </w:r>
      <w:proofErr w:type="gramStart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take action</w:t>
      </w:r>
      <w:proofErr w:type="gramEnd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as critical, informed, and responsible 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>Christians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.</w:t>
      </w:r>
    </w:p>
    <w:p w14:paraId="21B90DFA" w14:textId="150712AA" w:rsidR="00D023C7" w:rsidRPr="00A4359A" w:rsidRDefault="00D023C7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The Local Histories is also brought </w:t>
      </w:r>
      <w:proofErr w:type="gramStart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in</w:t>
      </w:r>
      <w:proofErr w:type="gramEnd"/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and the impact of the past is studied and understood.</w:t>
      </w:r>
    </w:p>
    <w:p w14:paraId="6BCCEC29" w14:textId="0675C565" w:rsidR="00A1175C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All students study 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>Humanities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. Students can also opt to tak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>e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History, and Tourism</w:t>
      </w:r>
      <w:r w:rsidR="00D023C7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(</w:t>
      </w:r>
      <w:r w:rsidR="00A16424" w:rsidRPr="00A4359A">
        <w:rPr>
          <w:rFonts w:eastAsia="Times New Roman" w:cstheme="minorHAnsi"/>
          <w:color w:val="52535F"/>
          <w:sz w:val="24"/>
          <w:szCs w:val="24"/>
          <w:lang w:eastAsia="en-NZ"/>
        </w:rPr>
        <w:t>QRC)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in the Senior School.</w:t>
      </w:r>
    </w:p>
    <w:p w14:paraId="1535F5CC" w14:textId="77777777" w:rsidR="00A4359A" w:rsidRPr="00A4359A" w:rsidRDefault="00A4359A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</w:p>
    <w:p w14:paraId="2F8CDB41" w14:textId="77777777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b/>
          <w:bCs/>
          <w:color w:val="52535F"/>
          <w:sz w:val="24"/>
          <w:szCs w:val="24"/>
          <w:lang w:eastAsia="en-NZ"/>
        </w:rPr>
        <w:t>GATEWAY AND PATHWAYS PLANNING</w:t>
      </w:r>
    </w:p>
    <w:p w14:paraId="49C417EA" w14:textId="1E232B14" w:rsidR="00A1175C" w:rsidRPr="00A4359A" w:rsidRDefault="00A1175C" w:rsidP="00A4359A">
      <w:pPr>
        <w:shd w:val="clear" w:color="auto" w:fill="FFFFFF"/>
        <w:spacing w:after="0"/>
        <w:rPr>
          <w:rFonts w:eastAsia="Times New Roman" w:cstheme="minorHAnsi"/>
          <w:color w:val="52535F"/>
          <w:sz w:val="24"/>
          <w:szCs w:val="24"/>
          <w:lang w:eastAsia="en-NZ"/>
        </w:rPr>
      </w:pP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>This is a program for Y1</w:t>
      </w:r>
      <w:r w:rsidR="008B39C8" w:rsidRPr="00A4359A">
        <w:rPr>
          <w:rFonts w:eastAsia="Times New Roman" w:cstheme="minorHAnsi"/>
          <w:color w:val="52535F"/>
          <w:sz w:val="24"/>
          <w:szCs w:val="24"/>
          <w:lang w:eastAsia="en-NZ"/>
        </w:rPr>
        <w:t>1</w:t>
      </w:r>
      <w:r w:rsidR="00330D5A"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to</w:t>
      </w:r>
      <w:r w:rsidRPr="00A4359A">
        <w:rPr>
          <w:rFonts w:eastAsia="Times New Roman" w:cstheme="minorHAnsi"/>
          <w:color w:val="52535F"/>
          <w:sz w:val="24"/>
          <w:szCs w:val="24"/>
          <w:lang w:eastAsia="en-NZ"/>
        </w:rPr>
        <w:t xml:space="preserve"> Y13 students which opens the gate between school and the world of work and allows students to gain experience in a local workplace. The focus is to gain workplace industry credits. Topics covered in the classroom include Site Safety, Customer Services, CV writing, Interview Skills, and Personal Career Planning. </w:t>
      </w:r>
    </w:p>
    <w:p w14:paraId="2ADABCE5" w14:textId="248D747C" w:rsidR="00A16424" w:rsidRPr="00A4359A" w:rsidRDefault="00A16424" w:rsidP="00A4359A">
      <w:pPr>
        <w:rPr>
          <w:rFonts w:cstheme="minorHAnsi"/>
          <w:sz w:val="24"/>
          <w:szCs w:val="24"/>
        </w:rPr>
      </w:pPr>
    </w:p>
    <w:p w14:paraId="61BA83F9" w14:textId="32C7A0E5" w:rsidR="00A16424" w:rsidRPr="00A4359A" w:rsidRDefault="00A16424" w:rsidP="00A4359A">
      <w:pPr>
        <w:rPr>
          <w:rFonts w:cstheme="minorHAnsi"/>
          <w:b/>
          <w:bCs/>
          <w:sz w:val="24"/>
          <w:szCs w:val="24"/>
        </w:rPr>
      </w:pPr>
      <w:proofErr w:type="spellStart"/>
      <w:r w:rsidRPr="00A4359A">
        <w:rPr>
          <w:rFonts w:cstheme="minorHAnsi"/>
          <w:b/>
          <w:bCs/>
          <w:sz w:val="24"/>
          <w:szCs w:val="24"/>
        </w:rPr>
        <w:t>Te</w:t>
      </w:r>
      <w:proofErr w:type="spellEnd"/>
      <w:r w:rsidRPr="00A4359A">
        <w:rPr>
          <w:rFonts w:cstheme="minorHAnsi"/>
          <w:b/>
          <w:bCs/>
          <w:sz w:val="24"/>
          <w:szCs w:val="24"/>
        </w:rPr>
        <w:t xml:space="preserve"> Ao Haka</w:t>
      </w:r>
    </w:p>
    <w:p w14:paraId="54D7AA76" w14:textId="50C9866E" w:rsidR="00A16424" w:rsidRPr="00A4359A" w:rsidRDefault="00A16424" w:rsidP="00A4359A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32B2D"/>
        </w:rPr>
      </w:pPr>
      <w:proofErr w:type="spellStart"/>
      <w:r w:rsidRPr="00A4359A">
        <w:rPr>
          <w:rFonts w:asciiTheme="minorHAnsi" w:hAnsiTheme="minorHAnsi" w:cstheme="minorHAnsi"/>
          <w:color w:val="232B2D"/>
        </w:rPr>
        <w:t>Te</w:t>
      </w:r>
      <w:proofErr w:type="spellEnd"/>
      <w:r w:rsidRPr="00A4359A">
        <w:rPr>
          <w:rFonts w:asciiTheme="minorHAnsi" w:hAnsiTheme="minorHAnsi" w:cstheme="minorHAnsi"/>
          <w:color w:val="232B2D"/>
        </w:rPr>
        <w:t xml:space="preserve"> Ao Haka is a new performance-based subject. It provides opportunities for </w:t>
      </w:r>
      <w:proofErr w:type="spellStart"/>
      <w:r w:rsidRPr="00A4359A">
        <w:rPr>
          <w:rFonts w:asciiTheme="minorHAnsi" w:hAnsiTheme="minorHAnsi" w:cstheme="minorHAnsi"/>
          <w:color w:val="232B2D"/>
        </w:rPr>
        <w:t>ākonga</w:t>
      </w:r>
      <w:proofErr w:type="spellEnd"/>
      <w:r w:rsidRPr="00A4359A">
        <w:rPr>
          <w:rFonts w:asciiTheme="minorHAnsi" w:hAnsiTheme="minorHAnsi" w:cstheme="minorHAnsi"/>
          <w:color w:val="232B2D"/>
        </w:rPr>
        <w:t xml:space="preserve"> to engage in Māori culture, language, and traditional practice. </w:t>
      </w:r>
      <w:proofErr w:type="spellStart"/>
      <w:r w:rsidRPr="00A4359A">
        <w:rPr>
          <w:rFonts w:asciiTheme="minorHAnsi" w:hAnsiTheme="minorHAnsi" w:cstheme="minorHAnsi"/>
          <w:color w:val="232B2D"/>
        </w:rPr>
        <w:t>Ākonga</w:t>
      </w:r>
      <w:proofErr w:type="spellEnd"/>
      <w:r w:rsidRPr="00A4359A">
        <w:rPr>
          <w:rFonts w:asciiTheme="minorHAnsi" w:hAnsiTheme="minorHAnsi" w:cstheme="minorHAnsi"/>
          <w:color w:val="232B2D"/>
        </w:rPr>
        <w:t xml:space="preserve"> learn their whakapapa, history and language through the medium of haka. The subject combines traditional and contemporary culture. </w:t>
      </w:r>
      <w:proofErr w:type="spellStart"/>
      <w:r w:rsidRPr="00A4359A">
        <w:rPr>
          <w:rFonts w:asciiTheme="minorHAnsi" w:hAnsiTheme="minorHAnsi" w:cstheme="minorHAnsi"/>
          <w:color w:val="232B2D"/>
        </w:rPr>
        <w:t>Ākonga</w:t>
      </w:r>
      <w:proofErr w:type="spellEnd"/>
      <w:r w:rsidRPr="00A4359A">
        <w:rPr>
          <w:rFonts w:asciiTheme="minorHAnsi" w:hAnsiTheme="minorHAnsi" w:cstheme="minorHAnsi"/>
          <w:color w:val="232B2D"/>
        </w:rPr>
        <w:t xml:space="preserve"> can use </w:t>
      </w:r>
      <w:proofErr w:type="spellStart"/>
      <w:r w:rsidRPr="00A4359A">
        <w:rPr>
          <w:rFonts w:asciiTheme="minorHAnsi" w:hAnsiTheme="minorHAnsi" w:cstheme="minorHAnsi"/>
          <w:color w:val="232B2D"/>
        </w:rPr>
        <w:t>Te</w:t>
      </w:r>
      <w:proofErr w:type="spellEnd"/>
      <w:r w:rsidRPr="00A4359A">
        <w:rPr>
          <w:rFonts w:asciiTheme="minorHAnsi" w:hAnsiTheme="minorHAnsi" w:cstheme="minorHAnsi"/>
          <w:color w:val="232B2D"/>
        </w:rPr>
        <w:t xml:space="preserve"> Ao Haka credits towards NCEA and University Entrance (UE). We are also offering scholarships in </w:t>
      </w:r>
      <w:proofErr w:type="spellStart"/>
      <w:r w:rsidRPr="00A4359A">
        <w:rPr>
          <w:rFonts w:asciiTheme="minorHAnsi" w:hAnsiTheme="minorHAnsi" w:cstheme="minorHAnsi"/>
          <w:color w:val="232B2D"/>
        </w:rPr>
        <w:t>Te</w:t>
      </w:r>
      <w:proofErr w:type="spellEnd"/>
      <w:r w:rsidRPr="00A4359A">
        <w:rPr>
          <w:rFonts w:asciiTheme="minorHAnsi" w:hAnsiTheme="minorHAnsi" w:cstheme="minorHAnsi"/>
          <w:color w:val="232B2D"/>
        </w:rPr>
        <w:t xml:space="preserve"> Ao Haka, more information about this will follow.</w:t>
      </w:r>
    </w:p>
    <w:sectPr w:rsidR="00A16424" w:rsidRPr="00A43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5C"/>
    <w:rsid w:val="00012CC6"/>
    <w:rsid w:val="001F4E78"/>
    <w:rsid w:val="00330D5A"/>
    <w:rsid w:val="003365CE"/>
    <w:rsid w:val="007C6A68"/>
    <w:rsid w:val="008B39C8"/>
    <w:rsid w:val="00A1175C"/>
    <w:rsid w:val="00A16424"/>
    <w:rsid w:val="00A4359A"/>
    <w:rsid w:val="00C00287"/>
    <w:rsid w:val="00D023C7"/>
    <w:rsid w:val="00D87395"/>
    <w:rsid w:val="00F3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4A4B074"/>
  <w15:chartTrackingRefBased/>
  <w15:docId w15:val="{A4B8F4CF-3260-45F5-9D60-50A1702B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7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A117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2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Theresia Van Wingerden</dc:creator>
  <cp:keywords/>
  <dc:description/>
  <cp:lastModifiedBy>Yvonne Vujcich</cp:lastModifiedBy>
  <cp:revision>3</cp:revision>
  <cp:lastPrinted>2023-09-07T21:32:00Z</cp:lastPrinted>
  <dcterms:created xsi:type="dcterms:W3CDTF">2024-10-23T02:54:00Z</dcterms:created>
  <dcterms:modified xsi:type="dcterms:W3CDTF">2024-10-23T02:56:00Z</dcterms:modified>
</cp:coreProperties>
</file>